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4A4D" w14:textId="29257882" w:rsidR="0056631A" w:rsidRDefault="0056631A" w:rsidP="00843C68">
      <w:pPr>
        <w:spacing w:after="150"/>
        <w:jc w:val="center"/>
        <w:rPr>
          <w:b/>
          <w:sz w:val="28"/>
          <w:szCs w:val="28"/>
        </w:rPr>
      </w:pPr>
      <w:r w:rsidRPr="0056631A">
        <w:rPr>
          <w:noProof/>
        </w:rPr>
        <w:drawing>
          <wp:anchor distT="0" distB="0" distL="114300" distR="114300" simplePos="0" relativeHeight="251659264" behindDoc="0" locked="0" layoutInCell="1" allowOverlap="1" wp14:anchorId="1D8CE7DC" wp14:editId="7DEE290A">
            <wp:simplePos x="0" y="0"/>
            <wp:positionH relativeFrom="column">
              <wp:posOffset>2466975</wp:posOffset>
            </wp:positionH>
            <wp:positionV relativeFrom="paragraph">
              <wp:posOffset>-123825</wp:posOffset>
            </wp:positionV>
            <wp:extent cx="1235075" cy="914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8057" r="8960" b="10069"/>
                    <a:stretch>
                      <a:fillRect/>
                    </a:stretch>
                  </pic:blipFill>
                  <pic:spPr bwMode="auto">
                    <a:xfrm>
                      <a:off x="0" y="0"/>
                      <a:ext cx="1235075" cy="914400"/>
                    </a:xfrm>
                    <a:prstGeom prst="rect">
                      <a:avLst/>
                    </a:prstGeom>
                    <a:noFill/>
                  </pic:spPr>
                </pic:pic>
              </a:graphicData>
            </a:graphic>
          </wp:anchor>
        </w:drawing>
      </w:r>
    </w:p>
    <w:p w14:paraId="08E703C4" w14:textId="4EE548BA" w:rsidR="0056631A" w:rsidRDefault="0056631A" w:rsidP="00843C68">
      <w:pPr>
        <w:spacing w:after="150"/>
        <w:jc w:val="center"/>
        <w:rPr>
          <w:b/>
          <w:sz w:val="28"/>
          <w:szCs w:val="28"/>
        </w:rPr>
      </w:pPr>
    </w:p>
    <w:p w14:paraId="4D23E9A7" w14:textId="7F9204A0" w:rsidR="0056631A" w:rsidRDefault="0056631A" w:rsidP="00843C68">
      <w:pPr>
        <w:spacing w:after="150"/>
        <w:jc w:val="center"/>
        <w:rPr>
          <w:b/>
          <w:sz w:val="28"/>
          <w:szCs w:val="28"/>
        </w:rPr>
      </w:pPr>
    </w:p>
    <w:p w14:paraId="18724D18" w14:textId="77777777" w:rsidR="0056631A" w:rsidRPr="0056631A" w:rsidRDefault="0056631A" w:rsidP="00EE39F0">
      <w:pPr>
        <w:tabs>
          <w:tab w:val="right" w:pos="3994"/>
          <w:tab w:val="center" w:pos="4320"/>
          <w:tab w:val="right" w:pos="8640"/>
        </w:tabs>
        <w:ind w:right="-108"/>
        <w:jc w:val="center"/>
        <w:rPr>
          <w:b/>
          <w:bCs/>
          <w:noProof/>
          <w:color w:val="0070C0"/>
        </w:rPr>
      </w:pPr>
      <w:r w:rsidRPr="0056631A">
        <w:rPr>
          <w:b/>
          <w:bCs/>
          <w:noProof/>
          <w:color w:val="0070C0"/>
        </w:rPr>
        <w:t>The Federal Republic of Somali</w:t>
      </w:r>
    </w:p>
    <w:p w14:paraId="3EBEB066" w14:textId="520E48E9" w:rsidR="0056631A" w:rsidRDefault="0056631A" w:rsidP="00EE39F0">
      <w:pPr>
        <w:tabs>
          <w:tab w:val="right" w:pos="3994"/>
          <w:tab w:val="center" w:pos="4320"/>
          <w:tab w:val="right" w:pos="8640"/>
        </w:tabs>
        <w:ind w:right="-108"/>
        <w:jc w:val="center"/>
        <w:rPr>
          <w:rFonts w:ascii="Candara" w:hAnsi="Candara"/>
          <w:b/>
          <w:bCs/>
          <w:noProof/>
          <w:color w:val="0070C0"/>
          <w:sz w:val="22"/>
          <w:szCs w:val="22"/>
        </w:rPr>
      </w:pPr>
      <w:r w:rsidRPr="0056631A">
        <w:rPr>
          <w:b/>
          <w:bCs/>
          <w:noProof/>
          <w:color w:val="0070C0"/>
        </w:rPr>
        <w:t>Ministry of Finance</w:t>
      </w:r>
      <w:r w:rsidRPr="0056631A">
        <w:rPr>
          <w:rFonts w:ascii="Candara" w:hAnsi="Candara"/>
          <w:b/>
          <w:bCs/>
          <w:noProof/>
          <w:color w:val="0070C0"/>
          <w:sz w:val="22"/>
          <w:szCs w:val="22"/>
        </w:rPr>
        <w:t xml:space="preserve"> </w:t>
      </w:r>
    </w:p>
    <w:p w14:paraId="090FF4E1" w14:textId="77777777" w:rsidR="0056631A" w:rsidRPr="0056631A" w:rsidRDefault="0056631A" w:rsidP="0056631A">
      <w:pPr>
        <w:tabs>
          <w:tab w:val="right" w:pos="3994"/>
          <w:tab w:val="center" w:pos="4320"/>
          <w:tab w:val="right" w:pos="8640"/>
        </w:tabs>
        <w:spacing w:line="320" w:lineRule="exact"/>
        <w:ind w:right="-108"/>
        <w:jc w:val="center"/>
        <w:rPr>
          <w:rFonts w:ascii="Candara" w:hAnsi="Candara"/>
          <w:b/>
          <w:bCs/>
          <w:noProof/>
          <w:color w:val="0070C0"/>
          <w:sz w:val="22"/>
          <w:szCs w:val="22"/>
        </w:rPr>
      </w:pPr>
    </w:p>
    <w:p w14:paraId="3E6C3337" w14:textId="1516697C" w:rsidR="00843C68" w:rsidRPr="00FD472E" w:rsidRDefault="002F2F18" w:rsidP="00FD472E">
      <w:pPr>
        <w:spacing w:after="150"/>
        <w:jc w:val="center"/>
        <w:rPr>
          <w:b/>
        </w:rPr>
      </w:pPr>
      <w:r w:rsidRPr="0056631A">
        <w:rPr>
          <w:b/>
        </w:rPr>
        <w:t>REQUEST FOR EXPRESSIONS OF INTEREST</w:t>
      </w:r>
      <w:r w:rsidR="00843C68" w:rsidRPr="0056631A">
        <w:rPr>
          <w:b/>
        </w:rPr>
        <w:t xml:space="preserve"> (REOI)</w:t>
      </w:r>
    </w:p>
    <w:p w14:paraId="503D1767" w14:textId="67BF7F5F" w:rsidR="002F2F18" w:rsidRPr="0056631A" w:rsidRDefault="002F2F18" w:rsidP="00C870FD">
      <w:pPr>
        <w:rPr>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Federal Republic of Somalia</w:t>
      </w:r>
      <w:r w:rsidR="0056631A" w:rsidRPr="0056631A">
        <w:rPr>
          <w:b/>
          <w:sz w:val="22"/>
          <w:szCs w:val="22"/>
        </w:rPr>
        <w:t xml:space="preserve"> (FGS)</w:t>
      </w:r>
    </w:p>
    <w:p w14:paraId="772F91F4" w14:textId="77777777" w:rsidR="006C7442" w:rsidRDefault="002F2F18" w:rsidP="006209F1">
      <w:pPr>
        <w:rPr>
          <w:b/>
          <w:color w:val="26282A"/>
          <w:sz w:val="22"/>
          <w:szCs w:val="22"/>
          <w:shd w:val="clear" w:color="auto" w:fill="FFFFFF"/>
        </w:rPr>
      </w:pPr>
      <w:r w:rsidRPr="0056631A">
        <w:rPr>
          <w:sz w:val="22"/>
          <w:szCs w:val="22"/>
        </w:rPr>
        <w:t xml:space="preserve">NAME OF PROJECT: </w:t>
      </w:r>
      <w:r w:rsidR="006209F1">
        <w:rPr>
          <w:sz w:val="22"/>
          <w:szCs w:val="22"/>
        </w:rPr>
        <w:tab/>
      </w:r>
      <w:r w:rsidR="006209F1">
        <w:rPr>
          <w:b/>
          <w:color w:val="26282A"/>
          <w:sz w:val="22"/>
          <w:szCs w:val="22"/>
          <w:shd w:val="clear" w:color="auto" w:fill="FFFFFF"/>
        </w:rPr>
        <w:t xml:space="preserve">Somalia </w:t>
      </w:r>
      <w:r w:rsidR="006C7442">
        <w:rPr>
          <w:b/>
          <w:color w:val="26282A"/>
          <w:sz w:val="22"/>
          <w:szCs w:val="22"/>
          <w:shd w:val="clear" w:color="auto" w:fill="FFFFFF"/>
        </w:rPr>
        <w:t xml:space="preserve">Domestic </w:t>
      </w:r>
      <w:r w:rsidR="006209F1">
        <w:rPr>
          <w:b/>
          <w:color w:val="26282A"/>
          <w:sz w:val="22"/>
          <w:szCs w:val="22"/>
          <w:shd w:val="clear" w:color="auto" w:fill="FFFFFF"/>
        </w:rPr>
        <w:t xml:space="preserve">Revenue Mobilization and </w:t>
      </w:r>
      <w:r w:rsidR="006C7442">
        <w:rPr>
          <w:b/>
          <w:color w:val="26282A"/>
          <w:sz w:val="22"/>
          <w:szCs w:val="22"/>
          <w:shd w:val="clear" w:color="auto" w:fill="FFFFFF"/>
        </w:rPr>
        <w:t xml:space="preserve">Public </w:t>
      </w:r>
      <w:r w:rsidR="006209F1">
        <w:rPr>
          <w:b/>
          <w:color w:val="26282A"/>
          <w:sz w:val="22"/>
          <w:szCs w:val="22"/>
          <w:shd w:val="clear" w:color="auto" w:fill="FFFFFF"/>
        </w:rPr>
        <w:t xml:space="preserve">Financial Management </w:t>
      </w:r>
    </w:p>
    <w:p w14:paraId="52B7AFF2" w14:textId="2BF7AF7A" w:rsidR="00BA4A08" w:rsidRPr="006C7442" w:rsidRDefault="006C7442" w:rsidP="006209F1">
      <w:pPr>
        <w:rPr>
          <w:b/>
          <w:color w:val="26282A"/>
          <w:sz w:val="22"/>
          <w:szCs w:val="22"/>
          <w:shd w:val="clear" w:color="auto" w:fill="FFFFFF"/>
        </w:rPr>
      </w:pPr>
      <w:r>
        <w:rPr>
          <w:b/>
          <w:color w:val="26282A"/>
          <w:sz w:val="22"/>
          <w:szCs w:val="22"/>
          <w:shd w:val="clear" w:color="auto" w:fill="FFFFFF"/>
        </w:rPr>
        <w:t xml:space="preserve">                                       C</w:t>
      </w:r>
      <w:r w:rsidR="006209F1">
        <w:rPr>
          <w:b/>
          <w:color w:val="26282A"/>
          <w:sz w:val="22"/>
          <w:szCs w:val="22"/>
          <w:shd w:val="clear" w:color="auto" w:fill="FFFFFF"/>
        </w:rPr>
        <w:t>apacity</w:t>
      </w:r>
      <w:r>
        <w:rPr>
          <w:b/>
          <w:color w:val="26282A"/>
          <w:sz w:val="22"/>
          <w:szCs w:val="22"/>
          <w:shd w:val="clear" w:color="auto" w:fill="FFFFFF"/>
        </w:rPr>
        <w:t xml:space="preserve"> </w:t>
      </w:r>
      <w:r w:rsidR="006209F1">
        <w:rPr>
          <w:b/>
          <w:color w:val="26282A"/>
          <w:sz w:val="22"/>
          <w:szCs w:val="22"/>
          <w:shd w:val="clear" w:color="auto" w:fill="FFFFFF"/>
        </w:rPr>
        <w:t xml:space="preserve">Strengthening </w:t>
      </w:r>
      <w:r w:rsidR="00943FB9" w:rsidRPr="0056631A">
        <w:rPr>
          <w:b/>
          <w:color w:val="26282A"/>
          <w:sz w:val="22"/>
          <w:szCs w:val="22"/>
          <w:shd w:val="clear" w:color="auto" w:fill="FFFFFF"/>
        </w:rPr>
        <w:t xml:space="preserve">Project - Phase </w:t>
      </w:r>
      <w:r w:rsidR="00E5245D" w:rsidRPr="0056631A">
        <w:rPr>
          <w:b/>
          <w:color w:val="26282A"/>
          <w:sz w:val="22"/>
          <w:szCs w:val="22"/>
          <w:shd w:val="clear" w:color="auto" w:fill="FFFFFF"/>
        </w:rPr>
        <w:t>II</w:t>
      </w:r>
    </w:p>
    <w:p w14:paraId="666FC5A3" w14:textId="2188FB5B" w:rsidR="002F2F18" w:rsidRPr="00EE39F0" w:rsidRDefault="002F2F18" w:rsidP="00C870FD">
      <w:pPr>
        <w:rPr>
          <w:b/>
          <w:bCs/>
          <w:sz w:val="22"/>
          <w:szCs w:val="22"/>
        </w:rPr>
      </w:pPr>
      <w:r w:rsidRPr="0056631A">
        <w:rPr>
          <w:bCs/>
          <w:sz w:val="22"/>
          <w:szCs w:val="22"/>
        </w:rPr>
        <w:t>PROJECT ID</w:t>
      </w:r>
      <w:r w:rsidRPr="0056631A">
        <w:rPr>
          <w:b/>
          <w:bCs/>
          <w:sz w:val="22"/>
          <w:szCs w:val="22"/>
        </w:rPr>
        <w:t>: </w:t>
      </w:r>
      <w:r w:rsidR="0056631A" w:rsidRPr="0056631A">
        <w:rPr>
          <w:b/>
          <w:bCs/>
          <w:sz w:val="22"/>
          <w:szCs w:val="22"/>
        </w:rPr>
        <w:tab/>
      </w:r>
      <w:r w:rsidR="0056631A" w:rsidRPr="0056631A">
        <w:rPr>
          <w:b/>
          <w:bCs/>
          <w:sz w:val="22"/>
          <w:szCs w:val="22"/>
        </w:rPr>
        <w:tab/>
      </w:r>
      <w:r w:rsidR="006C7442">
        <w:rPr>
          <w:b/>
          <w:color w:val="26282A"/>
          <w:sz w:val="22"/>
          <w:szCs w:val="22"/>
          <w:shd w:val="clear" w:color="auto" w:fill="FFFFFF"/>
        </w:rPr>
        <w:t>P151492</w:t>
      </w:r>
      <w:r w:rsidR="00EE39F0">
        <w:rPr>
          <w:b/>
          <w:bCs/>
          <w:sz w:val="22"/>
          <w:szCs w:val="22"/>
        </w:rPr>
        <w:tab/>
      </w:r>
      <w:r w:rsidR="00EE39F0">
        <w:rPr>
          <w:b/>
          <w:bCs/>
          <w:sz w:val="22"/>
          <w:szCs w:val="22"/>
        </w:rPr>
        <w:tab/>
      </w:r>
      <w:r w:rsidRPr="0056631A">
        <w:rPr>
          <w:sz w:val="22"/>
          <w:szCs w:val="22"/>
        </w:rPr>
        <w:t xml:space="preserve">Grant No.: </w:t>
      </w:r>
      <w:r w:rsidR="00BA4A08" w:rsidRPr="0056631A">
        <w:rPr>
          <w:b/>
          <w:color w:val="26282A"/>
          <w:sz w:val="22"/>
          <w:szCs w:val="22"/>
          <w:shd w:val="clear" w:color="auto" w:fill="FFFFFF"/>
        </w:rPr>
        <w:t>TF</w:t>
      </w:r>
      <w:r w:rsidR="006C7442">
        <w:rPr>
          <w:b/>
          <w:color w:val="26282A"/>
          <w:sz w:val="22"/>
          <w:szCs w:val="22"/>
          <w:shd w:val="clear" w:color="auto" w:fill="FFFFFF"/>
        </w:rPr>
        <w:t>0A8218</w:t>
      </w:r>
    </w:p>
    <w:p w14:paraId="35209821" w14:textId="16F2DE37" w:rsidR="0056631A" w:rsidRPr="0056631A" w:rsidRDefault="002F2F18" w:rsidP="00C870FD">
      <w:pPr>
        <w:ind w:left="2160" w:hanging="2160"/>
        <w:rPr>
          <w:b/>
          <w:sz w:val="22"/>
          <w:szCs w:val="22"/>
        </w:rPr>
      </w:pPr>
      <w:r w:rsidRPr="0056631A">
        <w:rPr>
          <w:sz w:val="22"/>
          <w:szCs w:val="22"/>
        </w:rPr>
        <w:t>Assignment Title:</w:t>
      </w:r>
      <w:r w:rsidR="0056631A" w:rsidRPr="0056631A">
        <w:rPr>
          <w:sz w:val="22"/>
          <w:szCs w:val="22"/>
        </w:rPr>
        <w:tab/>
        <w:t xml:space="preserve"> </w:t>
      </w:r>
      <w:r w:rsidR="003C3547">
        <w:rPr>
          <w:b/>
          <w:sz w:val="22"/>
          <w:szCs w:val="22"/>
        </w:rPr>
        <w:t>Consultancy Service for P</w:t>
      </w:r>
      <w:r w:rsidR="006C7442">
        <w:rPr>
          <w:b/>
          <w:sz w:val="22"/>
          <w:szCs w:val="22"/>
        </w:rPr>
        <w:t xml:space="preserve">rovision of Quality Assurance on Implementation of Somalia Financial Management </w:t>
      </w:r>
      <w:r w:rsidR="0075662F">
        <w:rPr>
          <w:b/>
          <w:sz w:val="22"/>
          <w:szCs w:val="22"/>
        </w:rPr>
        <w:t xml:space="preserve">Information </w:t>
      </w:r>
      <w:r w:rsidR="006C7442">
        <w:rPr>
          <w:b/>
          <w:sz w:val="22"/>
          <w:szCs w:val="22"/>
        </w:rPr>
        <w:t>System (SFMIS)</w:t>
      </w:r>
    </w:p>
    <w:p w14:paraId="374D8357" w14:textId="03B12A74" w:rsidR="00C944E4" w:rsidRPr="00C870FD" w:rsidRDefault="002F2F18" w:rsidP="00C870FD">
      <w:pPr>
        <w:rPr>
          <w:sz w:val="22"/>
          <w:szCs w:val="22"/>
          <w:lang w:val="en-GB"/>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Pr="0056631A">
        <w:rPr>
          <w:sz w:val="22"/>
          <w:szCs w:val="22"/>
        </w:rPr>
        <w:t xml:space="preserve"> </w:t>
      </w:r>
      <w:r w:rsidR="001603EC">
        <w:rPr>
          <w:sz w:val="22"/>
          <w:szCs w:val="22"/>
        </w:rPr>
        <w:t>SO-MOF-107574</w:t>
      </w:r>
      <w:r w:rsidR="001603EC" w:rsidRPr="001603EC">
        <w:rPr>
          <w:sz w:val="22"/>
          <w:szCs w:val="22"/>
        </w:rPr>
        <w:t>-CS-CQS</w:t>
      </w:r>
    </w:p>
    <w:p w14:paraId="4172AD67" w14:textId="19927C7F" w:rsidR="00E136B7" w:rsidRPr="0056631A"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Pr="0056631A">
        <w:rPr>
          <w:b/>
          <w:sz w:val="22"/>
          <w:szCs w:val="22"/>
        </w:rPr>
        <w:t xml:space="preserve"> </w:t>
      </w:r>
      <w:r w:rsidR="0056631A" w:rsidRPr="0056631A">
        <w:rPr>
          <w:rFonts w:eastAsiaTheme="minorHAnsi"/>
          <w:b/>
          <w:sz w:val="22"/>
          <w:szCs w:val="22"/>
        </w:rPr>
        <w:t>Mogadishu, Somalia</w:t>
      </w:r>
      <w:r w:rsidR="00A00065" w:rsidRPr="0056631A">
        <w:rPr>
          <w:rFonts w:eastAsiaTheme="minorHAnsi"/>
          <w:b/>
          <w:sz w:val="22"/>
          <w:szCs w:val="22"/>
        </w:rPr>
        <w:t xml:space="preserve"> </w:t>
      </w:r>
    </w:p>
    <w:p w14:paraId="050B1129" w14:textId="77777777" w:rsidR="00943FB9" w:rsidRPr="00843C68" w:rsidRDefault="00943FB9" w:rsidP="002F2F18">
      <w:pPr>
        <w:spacing w:after="150"/>
        <w:rPr>
          <w:b/>
          <w:sz w:val="22"/>
          <w:szCs w:val="22"/>
        </w:rPr>
      </w:pPr>
    </w:p>
    <w:p w14:paraId="149E0D17" w14:textId="77777777" w:rsidR="004029E5" w:rsidRPr="00843C68" w:rsidRDefault="00943FB9" w:rsidP="002F2F18">
      <w:pPr>
        <w:spacing w:after="150"/>
        <w:rPr>
          <w:b/>
          <w:sz w:val="22"/>
          <w:szCs w:val="22"/>
        </w:rPr>
      </w:pPr>
      <w:r w:rsidRPr="00843C68">
        <w:rPr>
          <w:sz w:val="22"/>
          <w:szCs w:val="22"/>
        </w:rPr>
        <w:t>1.</w:t>
      </w:r>
      <w:r w:rsidRPr="00843C68">
        <w:rPr>
          <w:b/>
          <w:sz w:val="22"/>
          <w:szCs w:val="22"/>
        </w:rPr>
        <w:t xml:space="preserve"> </w:t>
      </w:r>
      <w:r w:rsidR="00E136B7" w:rsidRPr="00843C68">
        <w:rPr>
          <w:b/>
          <w:sz w:val="22"/>
          <w:szCs w:val="22"/>
        </w:rPr>
        <w:t xml:space="preserve">Background </w:t>
      </w:r>
      <w:r w:rsidR="002F2F18" w:rsidRPr="00843C68">
        <w:rPr>
          <w:b/>
          <w:sz w:val="22"/>
          <w:szCs w:val="22"/>
        </w:rPr>
        <w:t> </w:t>
      </w:r>
    </w:p>
    <w:p w14:paraId="73EF8BF3" w14:textId="71AD884C" w:rsidR="00000AC0" w:rsidRDefault="002F2F18" w:rsidP="00000AC0">
      <w:pPr>
        <w:jc w:val="both"/>
        <w:rPr>
          <w:lang w:val="en-GB"/>
        </w:rPr>
      </w:pPr>
      <w:r w:rsidRPr="00AC3056">
        <w:t>The Federal Republic of Somalia </w:t>
      </w:r>
      <w:r w:rsidRPr="000B29E1">
        <w:rPr>
          <w:iCs/>
        </w:rPr>
        <w:t>has received</w:t>
      </w:r>
      <w:r w:rsidR="00904ACA" w:rsidRPr="00AC3056">
        <w:t> financing from T</w:t>
      </w:r>
      <w:r w:rsidRPr="00AC3056">
        <w:t xml:space="preserve">he World Bank </w:t>
      </w:r>
      <w:r w:rsidR="00F24B1B" w:rsidRPr="00AC3056">
        <w:t>through</w:t>
      </w:r>
      <w:r w:rsidRPr="00AC3056">
        <w:t xml:space="preserve"> the </w:t>
      </w:r>
      <w:r w:rsidR="00A46911" w:rsidRPr="00AC3056">
        <w:rPr>
          <w:rFonts w:eastAsiaTheme="minorHAnsi"/>
        </w:rPr>
        <w:t xml:space="preserve">Ministry </w:t>
      </w:r>
      <w:r w:rsidR="001B340E" w:rsidRPr="00AC3056">
        <w:rPr>
          <w:rFonts w:eastAsiaTheme="minorHAnsi"/>
        </w:rPr>
        <w:t>of Finance</w:t>
      </w:r>
      <w:r w:rsidR="00A67A7C" w:rsidRPr="00AC3056">
        <w:rPr>
          <w:rFonts w:eastAsiaTheme="minorHAnsi"/>
        </w:rPr>
        <w:t xml:space="preserve"> (</w:t>
      </w:r>
      <w:proofErr w:type="spellStart"/>
      <w:r w:rsidR="00A67A7C" w:rsidRPr="00AC3056">
        <w:rPr>
          <w:rFonts w:eastAsiaTheme="minorHAnsi"/>
        </w:rPr>
        <w:t>MoF</w:t>
      </w:r>
      <w:proofErr w:type="spellEnd"/>
      <w:r w:rsidR="00A67A7C" w:rsidRPr="00AC3056">
        <w:rPr>
          <w:rFonts w:eastAsiaTheme="minorHAnsi"/>
        </w:rPr>
        <w:t>)</w:t>
      </w:r>
      <w:r w:rsidR="00E136B7" w:rsidRPr="00AC3056">
        <w:rPr>
          <w:rFonts w:eastAsiaTheme="minorHAnsi"/>
        </w:rPr>
        <w:t xml:space="preserve"> </w:t>
      </w:r>
      <w:r w:rsidR="00F24B1B" w:rsidRPr="00AC3056">
        <w:rPr>
          <w:rFonts w:eastAsiaTheme="minorHAnsi"/>
        </w:rPr>
        <w:t>toward the cost of</w:t>
      </w:r>
      <w:r w:rsidR="0075662F">
        <w:rPr>
          <w:rFonts w:eastAsiaTheme="minorHAnsi"/>
        </w:rPr>
        <w:t xml:space="preserve"> Somalia Domestic</w:t>
      </w:r>
      <w:r w:rsidR="00000AC0">
        <w:rPr>
          <w:rFonts w:eastAsiaTheme="minorHAnsi"/>
        </w:rPr>
        <w:t xml:space="preserve"> Revenue</w:t>
      </w:r>
      <w:r w:rsidR="0075662F">
        <w:rPr>
          <w:rFonts w:eastAsiaTheme="minorHAnsi"/>
        </w:rPr>
        <w:t xml:space="preserve"> Mobilization and Public Financial Management Capacity Strengthening. </w:t>
      </w:r>
      <w:r w:rsidR="00A67A7C" w:rsidRPr="00AC3056">
        <w:rPr>
          <w:rFonts w:eastAsiaTheme="minorHAnsi"/>
        </w:rPr>
        <w:t xml:space="preserve">  </w:t>
      </w:r>
      <w:r w:rsidR="00AC3056" w:rsidRPr="00AC3056">
        <w:rPr>
          <w:rFonts w:eastAsiaTheme="minorHAnsi"/>
        </w:rPr>
        <w:t>T</w:t>
      </w:r>
      <w:r w:rsidR="00E136B7" w:rsidRPr="00AC3056">
        <w:rPr>
          <w:rFonts w:eastAsiaTheme="minorHAnsi"/>
          <w:bCs/>
        </w:rPr>
        <w:t xml:space="preserve">he project </w:t>
      </w:r>
      <w:r w:rsidR="00E136B7" w:rsidRPr="00AC3056">
        <w:rPr>
          <w:rFonts w:eastAsiaTheme="minorHAnsi"/>
        </w:rPr>
        <w:t>h</w:t>
      </w:r>
      <w:r w:rsidR="00A67A7C" w:rsidRPr="00AC3056">
        <w:rPr>
          <w:rFonts w:eastAsiaTheme="minorHAnsi"/>
        </w:rPr>
        <w:t>as been designed</w:t>
      </w:r>
      <w:r w:rsidR="00E136B7" w:rsidRPr="00AC3056">
        <w:rPr>
          <w:rFonts w:eastAsiaTheme="minorHAnsi"/>
        </w:rPr>
        <w:t xml:space="preserve"> to offer a platform </w:t>
      </w:r>
      <w:r w:rsidR="000B29E1">
        <w:rPr>
          <w:rFonts w:eastAsiaTheme="minorHAnsi"/>
        </w:rPr>
        <w:t xml:space="preserve">to </w:t>
      </w:r>
      <w:r w:rsidR="00000AC0">
        <w:rPr>
          <w:rFonts w:eastAsiaTheme="minorHAnsi"/>
        </w:rPr>
        <w:t>address</w:t>
      </w:r>
      <w:r w:rsidR="00E136B7" w:rsidRPr="00AC3056">
        <w:rPr>
          <w:rFonts w:eastAsiaTheme="minorHAnsi"/>
        </w:rPr>
        <w:t xml:space="preserve"> core economic governance issues, including: </w:t>
      </w:r>
      <w:r w:rsidR="00000AC0" w:rsidRPr="00D47A4C">
        <w:rPr>
          <w:lang w:val="en-GB"/>
        </w:rPr>
        <w:t>(</w:t>
      </w:r>
      <w:proofErr w:type="spellStart"/>
      <w:r w:rsidR="00000AC0" w:rsidRPr="00D47A4C">
        <w:rPr>
          <w:lang w:val="en-GB"/>
        </w:rPr>
        <w:t>i</w:t>
      </w:r>
      <w:proofErr w:type="spellEnd"/>
      <w:r w:rsidR="00000AC0" w:rsidRPr="00D47A4C">
        <w:rPr>
          <w:lang w:val="en-GB"/>
        </w:rPr>
        <w:t>) instituting PFM fundamentals for budget credibility; (ii) effective budget execution and financial accountability; (iii) improved policy formulation, planning and budget preparation; an</w:t>
      </w:r>
      <w:r w:rsidR="00000AC0">
        <w:rPr>
          <w:lang w:val="en-GB"/>
        </w:rPr>
        <w:t>d (iv) institutional structures for</w:t>
      </w:r>
      <w:r w:rsidR="00000AC0" w:rsidRPr="00D47A4C">
        <w:rPr>
          <w:lang w:val="en-GB"/>
        </w:rPr>
        <w:t xml:space="preserve"> Strategic Human Resource Management (SHR</w:t>
      </w:r>
      <w:r w:rsidR="00000AC0">
        <w:rPr>
          <w:lang w:val="en-GB"/>
        </w:rPr>
        <w:t>M),</w:t>
      </w:r>
      <w:r w:rsidR="00000AC0" w:rsidRPr="00D47A4C">
        <w:rPr>
          <w:lang w:val="en-GB"/>
        </w:rPr>
        <w:t xml:space="preserve"> </w:t>
      </w:r>
      <w:r w:rsidR="00000AC0" w:rsidRPr="0010617E">
        <w:rPr>
          <w:lang w:val="en-GB"/>
        </w:rPr>
        <w:t>Integrated Financial Management Information Systems (IFMIS)</w:t>
      </w:r>
      <w:r w:rsidR="00000AC0" w:rsidRPr="00D47A4C">
        <w:rPr>
          <w:lang w:val="en-GB"/>
        </w:rPr>
        <w:t xml:space="preserve"> and cross-cutting issues.</w:t>
      </w:r>
    </w:p>
    <w:p w14:paraId="2952CD76" w14:textId="77777777" w:rsidR="000B29E1" w:rsidRPr="00000AC0" w:rsidRDefault="000B29E1" w:rsidP="00000AC0">
      <w:pPr>
        <w:jc w:val="both"/>
        <w:rPr>
          <w:rFonts w:eastAsia="Calibri"/>
        </w:rPr>
      </w:pPr>
    </w:p>
    <w:p w14:paraId="02A4B237" w14:textId="47396372" w:rsidR="00A67A7C" w:rsidRDefault="00284BE6" w:rsidP="00284BE6">
      <w:pPr>
        <w:jc w:val="both"/>
        <w:rPr>
          <w:lang w:val="en-GB"/>
        </w:rPr>
      </w:pPr>
      <w:r>
        <w:rPr>
          <w:rFonts w:eastAsiaTheme="minorHAnsi"/>
          <w:sz w:val="22"/>
          <w:szCs w:val="22"/>
        </w:rPr>
        <w:t>The project has supported the development and implementation</w:t>
      </w:r>
      <w:r w:rsidR="000B29E1">
        <w:rPr>
          <w:rFonts w:eastAsiaTheme="minorHAnsi"/>
          <w:sz w:val="22"/>
          <w:szCs w:val="22"/>
        </w:rPr>
        <w:t xml:space="preserve"> (ongoing)</w:t>
      </w:r>
      <w:r>
        <w:rPr>
          <w:rFonts w:eastAsiaTheme="minorHAnsi"/>
          <w:sz w:val="22"/>
          <w:szCs w:val="22"/>
        </w:rPr>
        <w:t xml:space="preserve"> of </w:t>
      </w:r>
      <w:r>
        <w:rPr>
          <w:lang w:val="en-GB"/>
        </w:rPr>
        <w:t>Somalia Financial Management Information System (</w:t>
      </w:r>
      <w:r w:rsidRPr="00D47A4C">
        <w:rPr>
          <w:lang w:val="en-GB"/>
        </w:rPr>
        <w:t>SFMIS</w:t>
      </w:r>
      <w:r>
        <w:rPr>
          <w:lang w:val="en-GB"/>
        </w:rPr>
        <w:t>) and Puntland Financial Management Information System (PL-FMIS)</w:t>
      </w:r>
      <w:r w:rsidR="000B29E1">
        <w:rPr>
          <w:lang w:val="en-GB"/>
        </w:rPr>
        <w:t xml:space="preserve">. The </w:t>
      </w:r>
      <w:r>
        <w:rPr>
          <w:lang w:val="en-GB"/>
        </w:rPr>
        <w:t>systems</w:t>
      </w:r>
      <w:r w:rsidRPr="00D47A4C">
        <w:rPr>
          <w:lang w:val="en-GB"/>
        </w:rPr>
        <w:t xml:space="preserve"> architecture </w:t>
      </w:r>
      <w:r w:rsidR="000B29E1">
        <w:rPr>
          <w:lang w:val="en-GB"/>
        </w:rPr>
        <w:t>is</w:t>
      </w:r>
      <w:r w:rsidRPr="00D47A4C">
        <w:rPr>
          <w:lang w:val="en-GB"/>
        </w:rPr>
        <w:t xml:space="preserve"> designed as a </w:t>
      </w:r>
      <w:r w:rsidRPr="00D47A4C">
        <w:rPr>
          <w:b/>
          <w:i/>
          <w:lang w:val="en-GB"/>
        </w:rPr>
        <w:t>‘fit-for-purpose’</w:t>
      </w:r>
      <w:r w:rsidRPr="00D47A4C">
        <w:rPr>
          <w:b/>
          <w:lang w:val="en-GB"/>
        </w:rPr>
        <w:t xml:space="preserve"> </w:t>
      </w:r>
      <w:r w:rsidRPr="00D47A4C">
        <w:rPr>
          <w:b/>
          <w:i/>
          <w:lang w:val="en-GB"/>
        </w:rPr>
        <w:t>bespoke solution</w:t>
      </w:r>
      <w:r w:rsidR="003C3547">
        <w:rPr>
          <w:lang w:val="en-GB"/>
        </w:rPr>
        <w:t xml:space="preserve"> to support </w:t>
      </w:r>
      <w:r w:rsidRPr="00D47A4C">
        <w:rPr>
          <w:lang w:val="en-GB"/>
        </w:rPr>
        <w:t>government treasury operations and set the stage for future implementation of a C</w:t>
      </w:r>
      <w:r>
        <w:rPr>
          <w:lang w:val="en-GB"/>
        </w:rPr>
        <w:t>ommercial</w:t>
      </w:r>
      <w:r w:rsidR="000B29E1">
        <w:rPr>
          <w:lang w:val="en-GB"/>
        </w:rPr>
        <w:t xml:space="preserve"> </w:t>
      </w:r>
      <w:r>
        <w:rPr>
          <w:lang w:val="en-GB"/>
        </w:rPr>
        <w:t xml:space="preserve">- </w:t>
      </w:r>
      <w:r w:rsidRPr="00D47A4C">
        <w:rPr>
          <w:lang w:val="en-GB"/>
        </w:rPr>
        <w:t>of</w:t>
      </w:r>
      <w:r>
        <w:rPr>
          <w:lang w:val="en-GB"/>
        </w:rPr>
        <w:t xml:space="preserve">f </w:t>
      </w:r>
      <w:r w:rsidRPr="00D47A4C">
        <w:rPr>
          <w:lang w:val="en-GB"/>
        </w:rPr>
        <w:t>the</w:t>
      </w:r>
      <w:r>
        <w:rPr>
          <w:lang w:val="en-GB"/>
        </w:rPr>
        <w:t xml:space="preserve"> </w:t>
      </w:r>
      <w:r w:rsidRPr="00D47A4C">
        <w:rPr>
          <w:lang w:val="en-GB"/>
        </w:rPr>
        <w:t>Shelf (COTS)</w:t>
      </w:r>
      <w:r>
        <w:rPr>
          <w:lang w:val="en-GB"/>
        </w:rPr>
        <w:t xml:space="preserve"> application software package or other feasible solutions</w:t>
      </w:r>
      <w:r w:rsidRPr="00D47A4C">
        <w:rPr>
          <w:lang w:val="en-GB"/>
        </w:rPr>
        <w:t>.</w:t>
      </w:r>
    </w:p>
    <w:p w14:paraId="5F201056" w14:textId="671FC764" w:rsidR="00284BE6" w:rsidRDefault="00284BE6" w:rsidP="00284BE6">
      <w:pPr>
        <w:jc w:val="both"/>
        <w:rPr>
          <w:lang w:val="en-GB"/>
        </w:rPr>
      </w:pPr>
    </w:p>
    <w:p w14:paraId="49312C68" w14:textId="340AFFEC" w:rsidR="00284BE6" w:rsidRDefault="00284BE6" w:rsidP="00284BE6">
      <w:pPr>
        <w:jc w:val="both"/>
        <w:rPr>
          <w:rFonts w:eastAsia="Calibri"/>
          <w:lang w:val="en-GB"/>
        </w:rPr>
      </w:pPr>
      <w:r w:rsidRPr="00284BE6">
        <w:rPr>
          <w:rFonts w:eastAsia="Calibri"/>
        </w:rPr>
        <w:t>The SFMIS and PLFM</w:t>
      </w:r>
      <w:r w:rsidR="009C761C">
        <w:rPr>
          <w:rFonts w:eastAsia="Calibri"/>
        </w:rPr>
        <w:t xml:space="preserve"> is</w:t>
      </w:r>
      <w:r w:rsidRPr="00284BE6">
        <w:rPr>
          <w:rFonts w:eastAsia="Calibri"/>
        </w:rPr>
        <w:t xml:space="preserve"> a web-based application and runs on MySQL which is open source database with </w:t>
      </w:r>
      <w:r w:rsidR="009C761C">
        <w:rPr>
          <w:rFonts w:eastAsia="Calibri"/>
        </w:rPr>
        <w:t>a number of</w:t>
      </w:r>
      <w:r w:rsidRPr="00284BE6">
        <w:rPr>
          <w:rFonts w:eastAsia="Calibri"/>
        </w:rPr>
        <w:t xml:space="preserve"> business processes functional areas</w:t>
      </w:r>
      <w:r w:rsidR="009C761C">
        <w:rPr>
          <w:rFonts w:eastAsia="Calibri"/>
        </w:rPr>
        <w:t xml:space="preserve"> including</w:t>
      </w:r>
      <w:r w:rsidRPr="00284BE6">
        <w:rPr>
          <w:rFonts w:eastAsia="Calibri"/>
        </w:rPr>
        <w:t xml:space="preserve">: </w:t>
      </w:r>
      <w:proofErr w:type="spellStart"/>
      <w:r w:rsidRPr="00284BE6">
        <w:rPr>
          <w:rFonts w:eastAsia="Calibri"/>
        </w:rPr>
        <w:t>i</w:t>
      </w:r>
      <w:proofErr w:type="spellEnd"/>
      <w:r w:rsidRPr="00284BE6">
        <w:rPr>
          <w:rFonts w:eastAsia="Calibri"/>
        </w:rPr>
        <w:t xml:space="preserve">) </w:t>
      </w:r>
      <w:r w:rsidRPr="00284BE6">
        <w:rPr>
          <w:rFonts w:eastAsia="Calibri"/>
          <w:lang w:val="en-GB"/>
        </w:rPr>
        <w:t>Budget preparation and warrants; ii) Strengthening Revenue capturing and management including integration with Tax Management System; iii) Expenditure control; iv) Purchasing; v) Customs management; vi) General ledger, bank reconciliation and financial reporting; vii) Human Resource and Payroll; viii) Fixed Assets Management Register; ix) Inventory Management system; x) Secured connectivity; xi) Interface with other Government systems complemented by Online Analytical Processing (OLAP) technology; xii) Establishment of appropriate Software Escrow Agreement licensing regime between the Developers and Government; xiii) Business Continuity and Disaster Recovery Management following ISO guidelines; and xiv) In-house IT training and knowledge management arrangements.</w:t>
      </w:r>
    </w:p>
    <w:p w14:paraId="6C2F807C" w14:textId="2196ACE0" w:rsidR="00FE3597" w:rsidRDefault="00FE3597" w:rsidP="00284BE6">
      <w:pPr>
        <w:jc w:val="both"/>
        <w:rPr>
          <w:rFonts w:eastAsia="Calibri"/>
          <w:lang w:val="en-GB"/>
        </w:rPr>
      </w:pPr>
    </w:p>
    <w:p w14:paraId="7541BA8A" w14:textId="75919CBC" w:rsidR="00FE3597" w:rsidRPr="00FE3597" w:rsidRDefault="00FE3597" w:rsidP="00FE3597">
      <w:pPr>
        <w:jc w:val="both"/>
        <w:rPr>
          <w:lang w:bidi="en-US"/>
        </w:rPr>
      </w:pPr>
      <w:r w:rsidRPr="00FE3597">
        <w:rPr>
          <w:bCs/>
          <w:spacing w:val="-2"/>
          <w:lang w:bidi="en-US"/>
        </w:rPr>
        <w:t>The Ministry of Financ</w:t>
      </w:r>
      <w:r w:rsidRPr="00FE3597">
        <w:rPr>
          <w:lang w:bidi="en-US"/>
        </w:rPr>
        <w:t>e intend</w:t>
      </w:r>
      <w:r>
        <w:rPr>
          <w:lang w:bidi="en-US"/>
        </w:rPr>
        <w:t>s</w:t>
      </w:r>
      <w:r w:rsidRPr="00FE3597">
        <w:rPr>
          <w:lang w:bidi="en-US"/>
        </w:rPr>
        <w:t xml:space="preserve"> to apply part of the proceeds of the</w:t>
      </w:r>
      <w:r>
        <w:rPr>
          <w:lang w:bidi="en-US"/>
        </w:rPr>
        <w:t xml:space="preserve"> Grant</w:t>
      </w:r>
      <w:r w:rsidRPr="00FE3597">
        <w:rPr>
          <w:lang w:bidi="en-US"/>
        </w:rPr>
        <w:t xml:space="preserve"> for consulting services</w:t>
      </w:r>
      <w:r w:rsidR="00275177">
        <w:rPr>
          <w:lang w:bidi="en-US"/>
        </w:rPr>
        <w:t xml:space="preserve"> to undertake</w:t>
      </w:r>
      <w:r>
        <w:rPr>
          <w:lang w:bidi="en-US"/>
        </w:rPr>
        <w:t xml:space="preserve"> a Quality Assurance of the ongoing SFMIS implementation.</w:t>
      </w:r>
    </w:p>
    <w:p w14:paraId="5E49FB2B" w14:textId="77777777" w:rsidR="00FE3597" w:rsidRDefault="00FE3597" w:rsidP="005B2EBE">
      <w:pPr>
        <w:jc w:val="both"/>
        <w:rPr>
          <w:sz w:val="22"/>
          <w:szCs w:val="22"/>
        </w:rPr>
      </w:pPr>
    </w:p>
    <w:p w14:paraId="5DAA9D31" w14:textId="1DFC2460" w:rsidR="00CD3B94" w:rsidRDefault="002F2F18" w:rsidP="00FE3597">
      <w:pPr>
        <w:jc w:val="both"/>
        <w:rPr>
          <w:rFonts w:eastAsia="Calibri"/>
        </w:rPr>
      </w:pPr>
      <w:r w:rsidRPr="00843C68">
        <w:rPr>
          <w:sz w:val="22"/>
          <w:szCs w:val="22"/>
        </w:rPr>
        <w:t> </w:t>
      </w:r>
      <w:r w:rsidR="00FE3597" w:rsidRPr="00057243">
        <w:t xml:space="preserve">The consulting services (“Services”) </w:t>
      </w:r>
      <w:r w:rsidR="007855C8">
        <w:t xml:space="preserve">is required </w:t>
      </w:r>
      <w:r w:rsidR="00FE3597">
        <w:t xml:space="preserve">to undertake a structured quality assurance </w:t>
      </w:r>
      <w:r w:rsidR="007855C8">
        <w:t>review of the SFMIS modules</w:t>
      </w:r>
      <w:r w:rsidR="00CD3B94">
        <w:t xml:space="preserve"> to: </w:t>
      </w:r>
      <w:r w:rsidR="00CD3B94" w:rsidRPr="00CD3B94">
        <w:rPr>
          <w:rFonts w:eastAsia="Calibri"/>
        </w:rPr>
        <w:t xml:space="preserve">a) </w:t>
      </w:r>
      <w:r w:rsidR="007855C8">
        <w:rPr>
          <w:rFonts w:eastAsia="Calibri"/>
        </w:rPr>
        <w:t xml:space="preserve">confirm that </w:t>
      </w:r>
      <w:r w:rsidR="00CD3B94" w:rsidRPr="00CD3B94">
        <w:rPr>
          <w:rFonts w:eastAsia="Calibri"/>
        </w:rPr>
        <w:t xml:space="preserve">implementation progress is in line with the conceptual design and Statement of User Requirements; b) </w:t>
      </w:r>
      <w:r w:rsidR="007855C8">
        <w:rPr>
          <w:rFonts w:eastAsia="Calibri"/>
        </w:rPr>
        <w:t xml:space="preserve">confirm that </w:t>
      </w:r>
      <w:r w:rsidR="00CD3B94" w:rsidRPr="00CD3B94">
        <w:rPr>
          <w:rFonts w:eastAsia="Calibri"/>
        </w:rPr>
        <w:t>the system has appropriate systems security controls in place; c) identify existing and potential gaps and risks;  d) make practical recommendations and prepare a str</w:t>
      </w:r>
      <w:r w:rsidR="00E33DBA">
        <w:rPr>
          <w:rFonts w:eastAsia="Calibri"/>
        </w:rPr>
        <w:t>uctured road-map to mitigate any</w:t>
      </w:r>
      <w:r w:rsidR="00CD3B94" w:rsidRPr="00CD3B94">
        <w:rPr>
          <w:rFonts w:eastAsia="Calibri"/>
        </w:rPr>
        <w:t xml:space="preserve"> identified risks, and ensure </w:t>
      </w:r>
      <w:r w:rsidR="00EF55D3">
        <w:rPr>
          <w:rFonts w:eastAsia="Calibri"/>
        </w:rPr>
        <w:t>system sustainability.</w:t>
      </w:r>
    </w:p>
    <w:p w14:paraId="393A69B7" w14:textId="3160140E" w:rsidR="00275177" w:rsidRDefault="00275177" w:rsidP="00FE3597">
      <w:pPr>
        <w:jc w:val="both"/>
        <w:rPr>
          <w:rFonts w:eastAsia="Calibri"/>
        </w:rPr>
      </w:pPr>
    </w:p>
    <w:p w14:paraId="4DEE2BFC" w14:textId="7D622230" w:rsidR="00275177" w:rsidRPr="00EF55D3" w:rsidRDefault="00275177" w:rsidP="00275177">
      <w:pPr>
        <w:jc w:val="both"/>
        <w:rPr>
          <w:rFonts w:eastAsia="Calibri"/>
        </w:rPr>
      </w:pPr>
      <w:r w:rsidRPr="00057243">
        <w:t>The consultant</w:t>
      </w:r>
      <w:r>
        <w:t xml:space="preserve"> will be expected to u</w:t>
      </w:r>
      <w:r w:rsidR="00653022">
        <w:t>ndertake the quality assurance review by underta</w:t>
      </w:r>
      <w:r w:rsidR="00303B24">
        <w:t>k</w:t>
      </w:r>
      <w:r w:rsidR="00653022">
        <w:t>ing</w:t>
      </w:r>
      <w:r>
        <w:t xml:space="preserve"> tasks as defined in the terms of reference</w:t>
      </w:r>
      <w:r w:rsidR="00E33DBA">
        <w:t xml:space="preserve"> (TOR)</w:t>
      </w:r>
      <w:r>
        <w:t xml:space="preserve"> to ensure that the objectives of the assignment are achieved.</w:t>
      </w:r>
      <w:r w:rsidR="00E33DBA">
        <w:t xml:space="preserve"> </w:t>
      </w:r>
      <w:r w:rsidR="00E33DBA" w:rsidRPr="00653022">
        <w:rPr>
          <w:b/>
        </w:rPr>
        <w:t xml:space="preserve">The TOR </w:t>
      </w:r>
      <w:r w:rsidR="00653022">
        <w:rPr>
          <w:b/>
        </w:rPr>
        <w:t>is available and shall</w:t>
      </w:r>
      <w:r w:rsidR="00E33DBA" w:rsidRPr="00653022">
        <w:rPr>
          <w:b/>
        </w:rPr>
        <w:t xml:space="preserve"> be</w:t>
      </w:r>
      <w:r w:rsidR="00653022">
        <w:rPr>
          <w:b/>
        </w:rPr>
        <w:t xml:space="preserve"> forwarded </w:t>
      </w:r>
      <w:r w:rsidR="00303B24">
        <w:rPr>
          <w:b/>
        </w:rPr>
        <w:t>to firms on submission of application</w:t>
      </w:r>
      <w:r w:rsidR="00E33DBA" w:rsidRPr="00653022">
        <w:rPr>
          <w:b/>
        </w:rPr>
        <w:t>.</w:t>
      </w:r>
    </w:p>
    <w:p w14:paraId="643AD678" w14:textId="5D7BDC56" w:rsidR="00FE3597" w:rsidRDefault="00FE3597" w:rsidP="00FE3597">
      <w:pPr>
        <w:jc w:val="both"/>
      </w:pPr>
    </w:p>
    <w:p w14:paraId="4BD8142E" w14:textId="59533C75" w:rsidR="00275177" w:rsidRPr="00275177" w:rsidRDefault="00275177" w:rsidP="0027517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jc w:val="both"/>
        <w:rPr>
          <w:bCs/>
          <w:spacing w:val="-2"/>
        </w:rPr>
      </w:pPr>
      <w:r>
        <w:t>The Consultant</w:t>
      </w:r>
      <w:r w:rsidR="00C44432">
        <w:t>’s Services</w:t>
      </w:r>
      <w:r w:rsidRPr="00275177">
        <w:t xml:space="preserve"> will be required for a period of about</w:t>
      </w:r>
      <w:r w:rsidR="00C44432">
        <w:t xml:space="preserve"> three</w:t>
      </w:r>
      <w:r w:rsidRPr="00275177">
        <w:t xml:space="preserve"> (</w:t>
      </w:r>
      <w:r w:rsidR="00C44432">
        <w:t>3</w:t>
      </w:r>
      <w:r w:rsidRPr="00275177">
        <w:t>) calendar months.</w:t>
      </w:r>
    </w:p>
    <w:p w14:paraId="3B8AF3F1" w14:textId="74E15250" w:rsidR="00275177" w:rsidRDefault="00C44432" w:rsidP="00275177">
      <w:pPr>
        <w:spacing w:line="276" w:lineRule="auto"/>
        <w:jc w:val="both"/>
      </w:pPr>
      <w:proofErr w:type="spellStart"/>
      <w:r>
        <w:t>MoF</w:t>
      </w:r>
      <w:proofErr w:type="spellEnd"/>
      <w:r w:rsidR="00275177" w:rsidRPr="00275177">
        <w:t xml:space="preserve"> now invites eligible consulting firms (“Consultant”) to indicate their interest in providing the Services. Interested Consultants should provide information demonstrating that they have the required qualifications and relevant experience to perform the Services. The short listing criteria are as follows:</w:t>
      </w:r>
    </w:p>
    <w:p w14:paraId="031FAE65" w14:textId="77777777" w:rsidR="000F2BCF" w:rsidRPr="00275177" w:rsidRDefault="000F2BCF" w:rsidP="00275177">
      <w:pPr>
        <w:spacing w:line="276" w:lineRule="auto"/>
        <w:jc w:val="both"/>
      </w:pPr>
    </w:p>
    <w:p w14:paraId="5CBD261D" w14:textId="280D0BBB" w:rsidR="00275177" w:rsidRPr="00275177" w:rsidRDefault="00275177" w:rsidP="00275177">
      <w:pPr>
        <w:numPr>
          <w:ilvl w:val="0"/>
          <w:numId w:val="16"/>
        </w:numPr>
        <w:spacing w:line="276" w:lineRule="auto"/>
        <w:jc w:val="both"/>
        <w:rPr>
          <w:sz w:val="22"/>
          <w:szCs w:val="22"/>
        </w:rPr>
      </w:pPr>
      <w:r w:rsidRPr="00275177">
        <w:rPr>
          <w:sz w:val="22"/>
          <w:szCs w:val="22"/>
        </w:rPr>
        <w:t xml:space="preserve">General experience and capability in providing services for </w:t>
      </w:r>
      <w:r w:rsidR="001679CE">
        <w:rPr>
          <w:sz w:val="22"/>
          <w:szCs w:val="22"/>
        </w:rPr>
        <w:t xml:space="preserve">Information Technology and </w:t>
      </w:r>
      <w:r w:rsidR="003C3547">
        <w:rPr>
          <w:sz w:val="22"/>
          <w:szCs w:val="22"/>
        </w:rPr>
        <w:t>FMIS project m</w:t>
      </w:r>
      <w:r w:rsidR="002D2B75">
        <w:rPr>
          <w:sz w:val="22"/>
          <w:szCs w:val="22"/>
        </w:rPr>
        <w:t>anagement</w:t>
      </w:r>
      <w:r w:rsidRPr="00275177">
        <w:rPr>
          <w:sz w:val="22"/>
          <w:szCs w:val="22"/>
        </w:rPr>
        <w:t>;</w:t>
      </w:r>
    </w:p>
    <w:p w14:paraId="5F6BFDE6" w14:textId="4BB6813E" w:rsidR="00275177" w:rsidRPr="00275177" w:rsidRDefault="00275177" w:rsidP="00275177">
      <w:pPr>
        <w:numPr>
          <w:ilvl w:val="0"/>
          <w:numId w:val="16"/>
        </w:numPr>
        <w:spacing w:line="276" w:lineRule="auto"/>
        <w:jc w:val="both"/>
        <w:rPr>
          <w:sz w:val="22"/>
          <w:szCs w:val="22"/>
        </w:rPr>
      </w:pPr>
      <w:r w:rsidRPr="00275177">
        <w:rPr>
          <w:sz w:val="22"/>
          <w:szCs w:val="22"/>
        </w:rPr>
        <w:t>Specific experience in successfully performing similar assignments</w:t>
      </w:r>
      <w:r w:rsidR="00C44432">
        <w:rPr>
          <w:sz w:val="22"/>
          <w:szCs w:val="22"/>
        </w:rPr>
        <w:t xml:space="preserve"> on </w:t>
      </w:r>
      <w:r w:rsidR="002D2B75">
        <w:rPr>
          <w:sz w:val="22"/>
          <w:szCs w:val="22"/>
        </w:rPr>
        <w:t xml:space="preserve">review of </w:t>
      </w:r>
      <w:r w:rsidR="001679CE">
        <w:rPr>
          <w:sz w:val="22"/>
          <w:szCs w:val="22"/>
        </w:rPr>
        <w:t xml:space="preserve">FMIS </w:t>
      </w:r>
      <w:r w:rsidR="00C44432">
        <w:rPr>
          <w:sz w:val="22"/>
          <w:szCs w:val="22"/>
        </w:rPr>
        <w:t xml:space="preserve">automated processes such as budgeting, </w:t>
      </w:r>
      <w:r w:rsidR="001679CE">
        <w:rPr>
          <w:sz w:val="22"/>
          <w:szCs w:val="22"/>
        </w:rPr>
        <w:t>procurement, business process</w:t>
      </w:r>
      <w:r w:rsidR="001679CE" w:rsidRPr="001679CE">
        <w:rPr>
          <w:rFonts w:eastAsia="Calibri"/>
        </w:rPr>
        <w:t xml:space="preserve"> and integration, project management, IT security, capacity development and infrastructure design</w:t>
      </w:r>
      <w:r w:rsidRPr="00275177">
        <w:rPr>
          <w:sz w:val="22"/>
          <w:szCs w:val="22"/>
        </w:rPr>
        <w:t>;</w:t>
      </w:r>
    </w:p>
    <w:p w14:paraId="4CF858D0" w14:textId="3B2B9A2D" w:rsidR="00275177" w:rsidRPr="00275177" w:rsidRDefault="00275177" w:rsidP="00275177">
      <w:pPr>
        <w:numPr>
          <w:ilvl w:val="0"/>
          <w:numId w:val="16"/>
        </w:numPr>
        <w:spacing w:before="100" w:beforeAutospacing="1" w:after="100" w:afterAutospacing="1" w:line="276" w:lineRule="auto"/>
        <w:jc w:val="both"/>
        <w:rPr>
          <w:color w:val="333333"/>
          <w:sz w:val="22"/>
          <w:szCs w:val="22"/>
        </w:rPr>
      </w:pPr>
      <w:r w:rsidRPr="00275177">
        <w:rPr>
          <w:color w:val="333333"/>
          <w:sz w:val="22"/>
          <w:szCs w:val="22"/>
        </w:rPr>
        <w:t>Experience of relevant services in an environmen</w:t>
      </w:r>
      <w:r w:rsidR="002D2B75">
        <w:rPr>
          <w:color w:val="333333"/>
          <w:sz w:val="22"/>
          <w:szCs w:val="22"/>
        </w:rPr>
        <w:t>t similar to that of Somalia</w:t>
      </w:r>
      <w:r w:rsidRPr="00275177">
        <w:rPr>
          <w:color w:val="333333"/>
          <w:sz w:val="22"/>
          <w:szCs w:val="22"/>
        </w:rPr>
        <w:t>; and</w:t>
      </w:r>
    </w:p>
    <w:p w14:paraId="6E7411DB" w14:textId="77777777" w:rsidR="00275177" w:rsidRPr="00275177" w:rsidRDefault="00275177" w:rsidP="00275177">
      <w:pPr>
        <w:numPr>
          <w:ilvl w:val="0"/>
          <w:numId w:val="16"/>
        </w:numPr>
        <w:spacing w:before="100" w:beforeAutospacing="1" w:after="100" w:afterAutospacing="1" w:line="276" w:lineRule="auto"/>
        <w:jc w:val="both"/>
        <w:rPr>
          <w:color w:val="333333"/>
          <w:sz w:val="22"/>
          <w:szCs w:val="22"/>
        </w:rPr>
      </w:pPr>
      <w:r w:rsidRPr="00275177">
        <w:rPr>
          <w:color w:val="333333"/>
          <w:sz w:val="22"/>
          <w:szCs w:val="22"/>
        </w:rPr>
        <w:t>The technical and managerial organization of the firm. (Provide only the structure of the organization, general qualifications and number of key staff. Do not provide CV of staff.)</w:t>
      </w:r>
    </w:p>
    <w:p w14:paraId="07D1D591" w14:textId="5DD10E9C" w:rsidR="002D2B75" w:rsidRDefault="002D2B75" w:rsidP="002D2B75">
      <w:pPr>
        <w:spacing w:line="276" w:lineRule="auto"/>
        <w:jc w:val="both"/>
      </w:pPr>
      <w:r>
        <w:t>Attention of interested Consultants is drawn to paragraphs 3.14, 3.16 and 3.17 of the World Bank’s Procurement Regulations for IPF Borrowers: Procurement in Investment Financing</w:t>
      </w:r>
      <w:r w:rsidR="003C3547">
        <w:t xml:space="preserve"> -</w:t>
      </w:r>
      <w:r>
        <w:t xml:space="preserve"> Goods, Works, Non-Consulting and Consulting Services dated July 2016 and revised in November 2017, setting forth the World Bank’s policy on conflict of interest. </w:t>
      </w:r>
    </w:p>
    <w:p w14:paraId="1114E527" w14:textId="77777777" w:rsidR="002D2B75" w:rsidRDefault="002D2B75" w:rsidP="002D2B75">
      <w:pPr>
        <w:spacing w:line="276" w:lineRule="auto"/>
        <w:jc w:val="both"/>
      </w:pPr>
    </w:p>
    <w:p w14:paraId="1DEDC469" w14:textId="2848A55B" w:rsidR="002D2B75" w:rsidRDefault="002D2B75" w:rsidP="002D2B75">
      <w:pPr>
        <w:spacing w:line="276" w:lineRule="auto"/>
        <w:jc w:val="both"/>
      </w:pPr>
      <w:r>
        <w:t xml:space="preserve">A Consultant will be selected in accordance with the procedures set out in the World Bank’s Procurement Regulations for IPF Borrowers, Procurement in Investment Financing Goods, Works, Non-Consulting and Consulting Services dated July 2016 and revised in November 2017. </w:t>
      </w:r>
      <w:r w:rsidR="000F2BCF">
        <w:t>Selection Procedures for Consulting Firms.</w:t>
      </w:r>
    </w:p>
    <w:p w14:paraId="5CEB79F8" w14:textId="19C43B4C" w:rsidR="00275177" w:rsidRPr="00275177" w:rsidRDefault="00275177" w:rsidP="00275177">
      <w:pPr>
        <w:spacing w:before="100" w:beforeAutospacing="1" w:after="100" w:afterAutospacing="1" w:line="276" w:lineRule="auto"/>
        <w:jc w:val="both"/>
        <w:rPr>
          <w:color w:val="333333"/>
        </w:rPr>
      </w:pPr>
      <w:r w:rsidRPr="00275177">
        <w:rPr>
          <w:color w:val="333333"/>
        </w:rPr>
        <w:t xml:space="preserve">Consultants may associate with other firms in the form of a joint venture or a sub consultancy to enhance their qualifications. The nature of association, whether it is a joint venture or a sub </w:t>
      </w:r>
      <w:r w:rsidRPr="00275177">
        <w:rPr>
          <w:color w:val="333333"/>
        </w:rPr>
        <w:lastRenderedPageBreak/>
        <w:t xml:space="preserve">consultancy, should clearly be stated. In case of joint </w:t>
      </w:r>
      <w:r w:rsidR="000F2BCF" w:rsidRPr="00275177">
        <w:rPr>
          <w:color w:val="333333"/>
        </w:rPr>
        <w:t>venture,</w:t>
      </w:r>
      <w:r w:rsidRPr="00275177">
        <w:rPr>
          <w:color w:val="333333"/>
        </w:rPr>
        <w:t xml:space="preserve"> the firm leading the joint venture should be mentioned.</w:t>
      </w:r>
    </w:p>
    <w:p w14:paraId="50B30DE9" w14:textId="678A0742" w:rsidR="00275177" w:rsidRPr="00275177" w:rsidRDefault="00275177" w:rsidP="00275177">
      <w:pPr>
        <w:spacing w:before="100" w:beforeAutospacing="1" w:after="100" w:afterAutospacing="1" w:line="276" w:lineRule="auto"/>
        <w:jc w:val="both"/>
        <w:rPr>
          <w:color w:val="333333"/>
        </w:rPr>
      </w:pPr>
      <w:r w:rsidRPr="00275177">
        <w:rPr>
          <w:color w:val="333333"/>
        </w:rPr>
        <w:t>A Consultant will be selected in accordance with the Consultant Qualification Selection method (CQS) set o</w:t>
      </w:r>
      <w:r w:rsidR="002D2B75">
        <w:rPr>
          <w:color w:val="333333"/>
        </w:rPr>
        <w:t xml:space="preserve">ut in the </w:t>
      </w:r>
      <w:r w:rsidR="002D2B75">
        <w:t>World Bank’s Procurement Regulations for IPF Borrowers.</w:t>
      </w:r>
      <w:r w:rsidRPr="00275177">
        <w:rPr>
          <w:color w:val="333333"/>
        </w:rPr>
        <w:t xml:space="preserve">  </w:t>
      </w:r>
    </w:p>
    <w:p w14:paraId="4B528218" w14:textId="14EF3823" w:rsidR="000F2BCF" w:rsidRDefault="00275177" w:rsidP="000F2BCF">
      <w:pPr>
        <w:suppressAutoHyphens/>
        <w:jc w:val="both"/>
        <w:rPr>
          <w:rFonts w:eastAsiaTheme="minorEastAsia"/>
          <w:spacing w:val="-2"/>
          <w:lang w:eastAsia="ja-JP"/>
        </w:rPr>
      </w:pPr>
      <w:r w:rsidRPr="00275177">
        <w:rPr>
          <w:color w:val="333333"/>
        </w:rPr>
        <w:t xml:space="preserve">Interested Consultant may obtain further information at the address below during office hours from </w:t>
      </w:r>
      <w:r w:rsidR="000F2BCF" w:rsidRPr="00504692">
        <w:rPr>
          <w:color w:val="000000" w:themeColor="text1"/>
        </w:rPr>
        <w:t>8:30</w:t>
      </w:r>
      <w:r w:rsidR="00303B24">
        <w:rPr>
          <w:color w:val="000000" w:themeColor="text1"/>
        </w:rPr>
        <w:t>am</w:t>
      </w:r>
      <w:r w:rsidR="000F2BCF" w:rsidRPr="00504692">
        <w:rPr>
          <w:color w:val="000000" w:themeColor="text1"/>
        </w:rPr>
        <w:t xml:space="preserve"> to 3.30pm Mogadishu time</w:t>
      </w:r>
      <w:r w:rsidR="000F2BCF">
        <w:rPr>
          <w:color w:val="000000" w:themeColor="text1"/>
        </w:rPr>
        <w:t xml:space="preserve"> (Excluding public holidays)</w:t>
      </w:r>
      <w:r w:rsidR="000F2BCF" w:rsidRPr="00504692">
        <w:rPr>
          <w:color w:val="000000" w:themeColor="text1"/>
        </w:rPr>
        <w:t>.</w:t>
      </w:r>
      <w:r w:rsidR="000F2BCF" w:rsidRPr="00504692">
        <w:rPr>
          <w:rFonts w:eastAsiaTheme="minorEastAsia"/>
          <w:spacing w:val="-2"/>
          <w:lang w:eastAsia="ja-JP"/>
        </w:rPr>
        <w:t xml:space="preserve"> </w:t>
      </w:r>
    </w:p>
    <w:p w14:paraId="360DBEC2" w14:textId="77777777" w:rsidR="000F2BCF" w:rsidRDefault="000F2BCF" w:rsidP="000F2BCF">
      <w:pPr>
        <w:suppressAutoHyphens/>
        <w:jc w:val="both"/>
        <w:rPr>
          <w:rFonts w:eastAsiaTheme="minorEastAsia"/>
          <w:spacing w:val="-2"/>
          <w:lang w:eastAsia="ja-JP"/>
        </w:rPr>
      </w:pPr>
    </w:p>
    <w:p w14:paraId="6924F1DD" w14:textId="3CE287B2" w:rsidR="000F2BCF" w:rsidRPr="00504692" w:rsidRDefault="000F2BCF" w:rsidP="000F2BCF">
      <w:pPr>
        <w:suppressAutoHyphens/>
        <w:jc w:val="both"/>
        <w:rPr>
          <w:rFonts w:eastAsiaTheme="minorEastAsia"/>
          <w:spacing w:val="-2"/>
          <w:lang w:eastAsia="ja-JP"/>
        </w:rPr>
      </w:pPr>
      <w:r w:rsidRPr="00504692">
        <w:rPr>
          <w:rFonts w:eastAsiaTheme="minorEastAsia"/>
          <w:spacing w:val="-2"/>
          <w:lang w:eastAsia="ja-JP"/>
        </w:rPr>
        <w:t xml:space="preserve">Expressions of </w:t>
      </w:r>
      <w:r w:rsidRPr="00504692">
        <w:t xml:space="preserve">interest (EOI) </w:t>
      </w:r>
      <w:r w:rsidR="00F20E14">
        <w:t>should</w:t>
      </w:r>
      <w:r w:rsidRPr="00504692">
        <w:rPr>
          <w:rFonts w:eastAsiaTheme="minorEastAsia"/>
          <w:spacing w:val="-2"/>
          <w:lang w:eastAsia="ja-JP"/>
        </w:rPr>
        <w:t xml:space="preserve"> be delivered (in person or by e-mail) in a written form in three (3) hard copies (if not by e-mail) to the address below</w:t>
      </w:r>
      <w:r w:rsidRPr="00504692">
        <w:rPr>
          <w:color w:val="000000" w:themeColor="text1"/>
        </w:rPr>
        <w:t xml:space="preserve"> by </w:t>
      </w:r>
      <w:r w:rsidR="001603EC" w:rsidRPr="001603EC">
        <w:rPr>
          <w:b/>
          <w:color w:val="000000" w:themeColor="text1"/>
        </w:rPr>
        <w:t>25</w:t>
      </w:r>
      <w:r w:rsidR="001603EC" w:rsidRPr="001603EC">
        <w:rPr>
          <w:b/>
          <w:color w:val="000000" w:themeColor="text1"/>
          <w:vertAlign w:val="superscript"/>
        </w:rPr>
        <w:t>th</w:t>
      </w:r>
      <w:r w:rsidR="001603EC" w:rsidRPr="001603EC">
        <w:rPr>
          <w:b/>
          <w:color w:val="000000" w:themeColor="text1"/>
        </w:rPr>
        <w:t xml:space="preserve"> </w:t>
      </w:r>
      <w:r w:rsidRPr="001603EC">
        <w:rPr>
          <w:b/>
          <w:color w:val="000000" w:themeColor="text1"/>
        </w:rPr>
        <w:t>April 2019 at 24:00 Hours (Mogadishu Time)</w:t>
      </w:r>
      <w:r w:rsidR="00F20E14" w:rsidRPr="001603EC">
        <w:rPr>
          <w:rFonts w:eastAsiaTheme="minorEastAsia"/>
          <w:spacing w:val="-2"/>
          <w:lang w:eastAsia="ja-JP"/>
        </w:rPr>
        <w:t xml:space="preserve"> – marked clearly as </w:t>
      </w:r>
      <w:r w:rsidR="00F20E14" w:rsidRPr="001603EC">
        <w:rPr>
          <w:rFonts w:eastAsiaTheme="minorEastAsia"/>
          <w:b/>
          <w:spacing w:val="-2"/>
          <w:lang w:eastAsia="ja-JP"/>
        </w:rPr>
        <w:t>“</w:t>
      </w:r>
      <w:bookmarkStart w:id="0" w:name="_GoBack"/>
      <w:bookmarkEnd w:id="0"/>
      <w:r w:rsidR="00F20E14" w:rsidRPr="00F20E14">
        <w:rPr>
          <w:rFonts w:eastAsiaTheme="minorEastAsia"/>
          <w:b/>
          <w:spacing w:val="-2"/>
          <w:lang w:eastAsia="ja-JP"/>
        </w:rPr>
        <w:t>Expression of Interest</w:t>
      </w:r>
      <w:r w:rsidR="00F20E14">
        <w:rPr>
          <w:rFonts w:eastAsiaTheme="minorEastAsia"/>
          <w:spacing w:val="-2"/>
          <w:lang w:eastAsia="ja-JP"/>
        </w:rPr>
        <w:t xml:space="preserve">: </w:t>
      </w:r>
      <w:r w:rsidR="00F20E14">
        <w:rPr>
          <w:b/>
          <w:sz w:val="22"/>
          <w:szCs w:val="22"/>
        </w:rPr>
        <w:t>Provision of Quality Assurance on Implementation of SFMIS”</w:t>
      </w:r>
    </w:p>
    <w:p w14:paraId="495F9F6C" w14:textId="77777777" w:rsidR="000F2BCF" w:rsidRPr="001A21E3" w:rsidRDefault="000F2BCF" w:rsidP="000F2BCF">
      <w:pPr>
        <w:suppressAutoHyphens/>
        <w:jc w:val="both"/>
        <w:rPr>
          <w:rFonts w:eastAsiaTheme="minorEastAsia"/>
          <w:spacing w:val="-2"/>
          <w:szCs w:val="22"/>
          <w:lang w:eastAsia="ja-JP"/>
        </w:rPr>
      </w:pPr>
    </w:p>
    <w:p w14:paraId="7473E0E7" w14:textId="77777777" w:rsidR="000F2BCF" w:rsidRPr="001A21E3"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Public F</w:t>
      </w:r>
      <w:r>
        <w:rPr>
          <w:rFonts w:eastAsiaTheme="minorEastAsia"/>
          <w:spacing w:val="-2"/>
          <w:szCs w:val="22"/>
          <w:lang w:eastAsia="ja-JP"/>
        </w:rPr>
        <w:t xml:space="preserve">inancial Management Reform Unit, </w:t>
      </w:r>
      <w:r w:rsidRPr="001A21E3">
        <w:rPr>
          <w:rFonts w:eastAsiaTheme="minorEastAsia"/>
          <w:spacing w:val="-2"/>
          <w:szCs w:val="22"/>
          <w:lang w:eastAsia="ja-JP"/>
        </w:rPr>
        <w:t xml:space="preserve">Ministry of Finance </w:t>
      </w:r>
    </w:p>
    <w:p w14:paraId="1C87E2A0" w14:textId="77777777" w:rsidR="000F2BCF" w:rsidRPr="001A21E3"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Villa Somalia, Mogadishu</w:t>
      </w:r>
    </w:p>
    <w:p w14:paraId="240DCC66" w14:textId="77777777" w:rsidR="000F2BCF" w:rsidRPr="001A21E3"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Federal Republic of Somalia</w:t>
      </w:r>
    </w:p>
    <w:p w14:paraId="40672857" w14:textId="77777777" w:rsidR="000F2BCF" w:rsidRDefault="000F2BCF" w:rsidP="000F2BCF">
      <w:pPr>
        <w:suppressAutoHyphens/>
        <w:jc w:val="both"/>
        <w:rPr>
          <w:rFonts w:eastAsiaTheme="minorEastAsia"/>
          <w:spacing w:val="-2"/>
          <w:szCs w:val="22"/>
          <w:lang w:eastAsia="ja-JP"/>
        </w:rPr>
      </w:pPr>
      <w:r w:rsidRPr="001A21E3">
        <w:rPr>
          <w:rFonts w:eastAsiaTheme="minorEastAsia"/>
          <w:spacing w:val="-2"/>
          <w:szCs w:val="22"/>
          <w:lang w:eastAsia="ja-JP"/>
        </w:rPr>
        <w:t xml:space="preserve">Email: </w:t>
      </w:r>
      <w:hyperlink r:id="rId8" w:history="1">
        <w:r w:rsidRPr="001A21E3">
          <w:rPr>
            <w:rFonts w:eastAsiaTheme="minorEastAsia"/>
            <w:color w:val="0000FF"/>
            <w:spacing w:val="-2"/>
            <w:szCs w:val="22"/>
            <w:u w:val="single"/>
            <w:lang w:eastAsia="ja-JP"/>
          </w:rPr>
          <w:t>Pfmreformunit@gmail.com</w:t>
        </w:r>
      </w:hyperlink>
      <w:r w:rsidRPr="001A21E3">
        <w:rPr>
          <w:rFonts w:eastAsiaTheme="minorEastAsia"/>
          <w:spacing w:val="-2"/>
          <w:szCs w:val="22"/>
          <w:lang w:eastAsia="ja-JP"/>
        </w:rPr>
        <w:t xml:space="preserve"> </w:t>
      </w:r>
      <w:r>
        <w:rPr>
          <w:rFonts w:eastAsiaTheme="minorEastAsia"/>
          <w:spacing w:val="-2"/>
          <w:szCs w:val="22"/>
          <w:lang w:eastAsia="ja-JP"/>
        </w:rPr>
        <w:t xml:space="preserve"> and copy </w:t>
      </w:r>
      <w:hyperlink r:id="rId9" w:history="1">
        <w:r>
          <w:rPr>
            <w:rStyle w:val="Hyperlink"/>
            <w:rFonts w:eastAsiaTheme="minorEastAsia"/>
            <w:spacing w:val="-2"/>
            <w:szCs w:val="22"/>
            <w:lang w:eastAsia="ja-JP"/>
          </w:rPr>
          <w:t>Procurement.fgs@gmail.com</w:t>
        </w:r>
      </w:hyperlink>
    </w:p>
    <w:p w14:paraId="50836FCA" w14:textId="77777777" w:rsidR="000F2BCF" w:rsidRPr="00AF4301" w:rsidRDefault="000F2BCF" w:rsidP="000F2BCF">
      <w:pPr>
        <w:spacing w:after="150"/>
        <w:rPr>
          <w:color w:val="FF0000"/>
          <w:sz w:val="22"/>
          <w:szCs w:val="22"/>
        </w:rPr>
      </w:pPr>
    </w:p>
    <w:sectPr w:rsidR="000F2BCF" w:rsidRPr="00AF4301">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93657" w16cid:durableId="1F185F21"/>
  <w16cid:commentId w16cid:paraId="644F9414" w16cid:durableId="1F1862A9"/>
  <w16cid:commentId w16cid:paraId="2746435E" w16cid:durableId="1F1863EE"/>
  <w16cid:commentId w16cid:paraId="5BC056C1" w16cid:durableId="1F1868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1A9A" w14:textId="77777777" w:rsidR="006B1084" w:rsidRDefault="006B1084" w:rsidP="008F6916">
      <w:r>
        <w:separator/>
      </w:r>
    </w:p>
  </w:endnote>
  <w:endnote w:type="continuationSeparator" w:id="0">
    <w:p w14:paraId="4367865F" w14:textId="77777777" w:rsidR="006B1084" w:rsidRDefault="006B1084"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F09D" w14:textId="50980C9A"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EC">
      <w:rPr>
        <w:rStyle w:val="PageNumber"/>
        <w:noProof/>
      </w:rPr>
      <w:t>1</w:t>
    </w:r>
    <w:r>
      <w:rPr>
        <w:rStyle w:val="PageNumber"/>
      </w:rPr>
      <w:fldChar w:fldCharType="end"/>
    </w:r>
  </w:p>
  <w:p w14:paraId="1D79B6C2" w14:textId="77777777" w:rsidR="00414518" w:rsidRDefault="00414518" w:rsidP="00E5245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FBE2" w14:textId="77777777" w:rsidR="006B1084" w:rsidRDefault="006B1084" w:rsidP="008F6916">
      <w:r>
        <w:separator/>
      </w:r>
    </w:p>
  </w:footnote>
  <w:footnote w:type="continuationSeparator" w:id="0">
    <w:p w14:paraId="7F990612" w14:textId="77777777" w:rsidR="006B1084" w:rsidRDefault="006B1084" w:rsidP="008F69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4"/>
  </w:num>
  <w:num w:numId="9">
    <w:abstractNumId w:val="12"/>
  </w:num>
  <w:num w:numId="10">
    <w:abstractNumId w:val="8"/>
  </w:num>
  <w:num w:numId="11">
    <w:abstractNumId w:val="3"/>
  </w:num>
  <w:num w:numId="12">
    <w:abstractNumId w:val="4"/>
  </w:num>
  <w:num w:numId="13">
    <w:abstractNumId w:val="10"/>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00AC0"/>
    <w:rsid w:val="00010EB2"/>
    <w:rsid w:val="00062820"/>
    <w:rsid w:val="00093275"/>
    <w:rsid w:val="000932A2"/>
    <w:rsid w:val="000B0D2A"/>
    <w:rsid w:val="000B29E1"/>
    <w:rsid w:val="000B5DA7"/>
    <w:rsid w:val="000B6E4D"/>
    <w:rsid w:val="000C1027"/>
    <w:rsid w:val="000E1E4C"/>
    <w:rsid w:val="000F2BCF"/>
    <w:rsid w:val="0010617E"/>
    <w:rsid w:val="001352DC"/>
    <w:rsid w:val="001603EC"/>
    <w:rsid w:val="0016105E"/>
    <w:rsid w:val="001663EC"/>
    <w:rsid w:val="001679CE"/>
    <w:rsid w:val="00173BD8"/>
    <w:rsid w:val="00187EAB"/>
    <w:rsid w:val="001A592D"/>
    <w:rsid w:val="001B2823"/>
    <w:rsid w:val="001B340E"/>
    <w:rsid w:val="001D47A9"/>
    <w:rsid w:val="001E1053"/>
    <w:rsid w:val="00223F8E"/>
    <w:rsid w:val="00260D11"/>
    <w:rsid w:val="0026120F"/>
    <w:rsid w:val="00267641"/>
    <w:rsid w:val="00275177"/>
    <w:rsid w:val="00284BE6"/>
    <w:rsid w:val="002917C0"/>
    <w:rsid w:val="002A4A39"/>
    <w:rsid w:val="002B032F"/>
    <w:rsid w:val="002B403B"/>
    <w:rsid w:val="002C01D6"/>
    <w:rsid w:val="002D2B75"/>
    <w:rsid w:val="002E2B84"/>
    <w:rsid w:val="002F2F18"/>
    <w:rsid w:val="002F50FC"/>
    <w:rsid w:val="002F696E"/>
    <w:rsid w:val="00303B24"/>
    <w:rsid w:val="003049E2"/>
    <w:rsid w:val="00311597"/>
    <w:rsid w:val="00323110"/>
    <w:rsid w:val="0033747D"/>
    <w:rsid w:val="00343202"/>
    <w:rsid w:val="00392250"/>
    <w:rsid w:val="003C3547"/>
    <w:rsid w:val="003D7EB0"/>
    <w:rsid w:val="003E510D"/>
    <w:rsid w:val="003F760E"/>
    <w:rsid w:val="004029E5"/>
    <w:rsid w:val="00414518"/>
    <w:rsid w:val="00442228"/>
    <w:rsid w:val="0044500F"/>
    <w:rsid w:val="0045349A"/>
    <w:rsid w:val="00455698"/>
    <w:rsid w:val="00460283"/>
    <w:rsid w:val="004658F1"/>
    <w:rsid w:val="004B55A4"/>
    <w:rsid w:val="004E45DF"/>
    <w:rsid w:val="004F4130"/>
    <w:rsid w:val="004F5C01"/>
    <w:rsid w:val="004F78DC"/>
    <w:rsid w:val="00504692"/>
    <w:rsid w:val="00514C99"/>
    <w:rsid w:val="0051712F"/>
    <w:rsid w:val="00521A1A"/>
    <w:rsid w:val="00525E79"/>
    <w:rsid w:val="00562863"/>
    <w:rsid w:val="00565C8D"/>
    <w:rsid w:val="0056631A"/>
    <w:rsid w:val="005B2EBE"/>
    <w:rsid w:val="005F674D"/>
    <w:rsid w:val="00604470"/>
    <w:rsid w:val="00605F1F"/>
    <w:rsid w:val="0062070F"/>
    <w:rsid w:val="006209F1"/>
    <w:rsid w:val="00653022"/>
    <w:rsid w:val="0069678F"/>
    <w:rsid w:val="006B1084"/>
    <w:rsid w:val="006B7EB3"/>
    <w:rsid w:val="006C7442"/>
    <w:rsid w:val="006E28E7"/>
    <w:rsid w:val="00713DE3"/>
    <w:rsid w:val="00722E38"/>
    <w:rsid w:val="00741312"/>
    <w:rsid w:val="007507BA"/>
    <w:rsid w:val="0075662F"/>
    <w:rsid w:val="00760329"/>
    <w:rsid w:val="00782232"/>
    <w:rsid w:val="007855C8"/>
    <w:rsid w:val="007E4BDF"/>
    <w:rsid w:val="00812603"/>
    <w:rsid w:val="00843C68"/>
    <w:rsid w:val="0085206A"/>
    <w:rsid w:val="00865593"/>
    <w:rsid w:val="008668D6"/>
    <w:rsid w:val="00880CD0"/>
    <w:rsid w:val="00884B91"/>
    <w:rsid w:val="0089532B"/>
    <w:rsid w:val="008B6851"/>
    <w:rsid w:val="008F3AEA"/>
    <w:rsid w:val="008F6916"/>
    <w:rsid w:val="00904ACA"/>
    <w:rsid w:val="0091102F"/>
    <w:rsid w:val="0091357B"/>
    <w:rsid w:val="00913D74"/>
    <w:rsid w:val="00943FB9"/>
    <w:rsid w:val="00945FF2"/>
    <w:rsid w:val="0095235C"/>
    <w:rsid w:val="009821D5"/>
    <w:rsid w:val="009C761C"/>
    <w:rsid w:val="009D590F"/>
    <w:rsid w:val="00A00065"/>
    <w:rsid w:val="00A12860"/>
    <w:rsid w:val="00A46911"/>
    <w:rsid w:val="00A67A7C"/>
    <w:rsid w:val="00A73C5E"/>
    <w:rsid w:val="00AA7618"/>
    <w:rsid w:val="00AB2E47"/>
    <w:rsid w:val="00AC3056"/>
    <w:rsid w:val="00AD0D3C"/>
    <w:rsid w:val="00AF4301"/>
    <w:rsid w:val="00AF5C81"/>
    <w:rsid w:val="00B327AD"/>
    <w:rsid w:val="00B91F82"/>
    <w:rsid w:val="00BA4A08"/>
    <w:rsid w:val="00C0332F"/>
    <w:rsid w:val="00C130F1"/>
    <w:rsid w:val="00C3455A"/>
    <w:rsid w:val="00C36CB3"/>
    <w:rsid w:val="00C410DB"/>
    <w:rsid w:val="00C4363C"/>
    <w:rsid w:val="00C44432"/>
    <w:rsid w:val="00C57C4E"/>
    <w:rsid w:val="00C74B9E"/>
    <w:rsid w:val="00C7693E"/>
    <w:rsid w:val="00C77EFB"/>
    <w:rsid w:val="00C870FD"/>
    <w:rsid w:val="00C944E4"/>
    <w:rsid w:val="00CB2B5B"/>
    <w:rsid w:val="00CD3B94"/>
    <w:rsid w:val="00D03B5B"/>
    <w:rsid w:val="00D15383"/>
    <w:rsid w:val="00D20145"/>
    <w:rsid w:val="00D34757"/>
    <w:rsid w:val="00D43F60"/>
    <w:rsid w:val="00D60572"/>
    <w:rsid w:val="00D662BB"/>
    <w:rsid w:val="00DD1D1C"/>
    <w:rsid w:val="00E136B7"/>
    <w:rsid w:val="00E227C5"/>
    <w:rsid w:val="00E33DBA"/>
    <w:rsid w:val="00E420C3"/>
    <w:rsid w:val="00E5245D"/>
    <w:rsid w:val="00EA3977"/>
    <w:rsid w:val="00EE39F0"/>
    <w:rsid w:val="00EF55D3"/>
    <w:rsid w:val="00F20E14"/>
    <w:rsid w:val="00F24B1B"/>
    <w:rsid w:val="00F43878"/>
    <w:rsid w:val="00F64F23"/>
    <w:rsid w:val="00F93F35"/>
    <w:rsid w:val="00FD472E"/>
    <w:rsid w:val="00FE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ADB,Geneva 9"/>
    <w:basedOn w:val="Normal"/>
    <w:link w:val="FootnoteTextChar"/>
    <w:uiPriority w:val="99"/>
    <w:unhideWhenUsed/>
    <w:qFormat/>
    <w:rsid w:val="00284BE6"/>
    <w:rPr>
      <w:rFonts w:ascii="Calibri" w:eastAsia="Calibri" w:hAnsi="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284BE6"/>
    <w:rPr>
      <w:rFonts w:ascii="Calibri" w:eastAsia="Calibri" w:hAnsi="Calibri" w:cs="Times New Roman"/>
      <w:sz w:val="20"/>
      <w:szCs w:val="20"/>
    </w:rPr>
  </w:style>
  <w:style w:type="character" w:styleId="FootnoteReference">
    <w:name w:val="footnote reference"/>
    <w:aliases w:val="fr,Used by Word for Help footnote symbols,16 Point,Superscript 6 Point,ftref, BVI fnr,BVI fnr,Char Char Char Char Car Char,Footnote Reference Number,Footnotes refss,Знак сноски 1,Ref,de nota al pie,Footnote,footnote ref,Знак сноски-FN"/>
    <w:basedOn w:val="DefaultParagraphFont"/>
    <w:link w:val="CharChar1CharCharCharChar1CharCharCharCharCharCharCharChar"/>
    <w:uiPriority w:val="99"/>
    <w:unhideWhenUsed/>
    <w:qFormat/>
    <w:rsid w:val="00284BE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84BE6"/>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mreformunit@gmail.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f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2019-03-04T11:25:00Z</cp:lastPrinted>
  <dcterms:created xsi:type="dcterms:W3CDTF">2019-04-08T11:50:00Z</dcterms:created>
  <dcterms:modified xsi:type="dcterms:W3CDTF">2019-04-08T12:06:00Z</dcterms:modified>
</cp:coreProperties>
</file>